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FC2" w:rsidRDefault="00F72BCA">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gjdgxs" w:colFirst="0" w:colLast="0"/>
      <w:bookmarkEnd w:id="0"/>
      <w:r>
        <w:rPr>
          <w:rFonts w:ascii="Arial" w:eastAsia="Arial" w:hAnsi="Arial" w:cs="Arial"/>
          <w:b/>
          <w:color w:val="000000"/>
          <w:sz w:val="36"/>
          <w:szCs w:val="36"/>
        </w:rPr>
        <w:t xml:space="preserve">) </w:t>
      </w:r>
    </w:p>
    <w:p w:rsidR="00CB5FC2" w:rsidRDefault="00F72BCA">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CB5FC2" w:rsidRDefault="00F72BCA">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If the potential Buyer can determine that:</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CB5FC2" w:rsidRDefault="00F72BCA" w:rsidP="00613A09">
      <w:pPr>
        <w:widowControl/>
        <w:pBdr>
          <w:top w:val="nil"/>
          <w:left w:val="nil"/>
          <w:bottom w:val="nil"/>
          <w:right w:val="nil"/>
          <w:between w:val="nil"/>
        </w:pBdr>
        <w:tabs>
          <w:tab w:val="left" w:pos="4536"/>
        </w:tabs>
        <w:spacing w:after="220"/>
        <w:ind w:left="993"/>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CB5FC2" w:rsidRDefault="00F72BCA">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rsidR="00CB5FC2" w:rsidRDefault="00CB5FC2">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further competition works</w:t>
      </w:r>
    </w:p>
    <w:p w:rsidR="00CB5FC2" w:rsidRDefault="00F72BCA">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w:t>
      </w:r>
      <w:r>
        <w:rPr>
          <w:rFonts w:ascii="Arial" w:eastAsia="Arial" w:hAnsi="Arial" w:cs="Arial"/>
          <w:color w:val="000000"/>
          <w:sz w:val="24"/>
          <w:szCs w:val="24"/>
        </w:rPr>
        <w:t>upplying the them;</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w:t>
      </w:r>
      <w:r>
        <w:rPr>
          <w:rFonts w:ascii="Arial" w:eastAsia="Arial" w:hAnsi="Arial" w:cs="Arial"/>
          <w:color w:val="000000"/>
          <w:sz w:val="24"/>
          <w:szCs w:val="24"/>
        </w:rPr>
        <w:t>dentified in accordance with Paragraph 3.1.1 and shall conduct the Further Competition Procedure in accordance with the procedures set out in Paragraph 3; or</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CB5FC2" w:rsidRDefault="00F72BC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CB5FC2" w:rsidRDefault="00F72BC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CB5FC2" w:rsidRDefault="00F72BC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w:t>
      </w:r>
      <w:r>
        <w:rPr>
          <w:rFonts w:ascii="Arial" w:eastAsia="Arial" w:hAnsi="Arial" w:cs="Arial"/>
          <w:color w:val="000000"/>
          <w:sz w:val="24"/>
          <w:szCs w:val="24"/>
        </w:rPr>
        <w:t>he return of tenders has expired.</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w:t>
      </w:r>
      <w:r>
        <w:rPr>
          <w:rFonts w:ascii="Arial" w:eastAsia="Arial" w:hAnsi="Arial" w:cs="Arial"/>
          <w:color w:val="000000"/>
          <w:sz w:val="24"/>
          <w:szCs w:val="24"/>
        </w:rPr>
        <w:t>sis set out above, award its Call-Off Contract to the successful Supplier in accordance with Paragraph 6. The Call-Off Contract shall:</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lastRenderedPageBreak/>
        <w:t>state the Deliverables;</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CB5FC2" w:rsidRDefault="00F72BCA">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 xml:space="preserve">a statement to the effect that it does not wish to </w:t>
      </w:r>
      <w:r>
        <w:rPr>
          <w:rFonts w:ascii="Arial" w:eastAsia="Arial" w:hAnsi="Arial" w:cs="Arial"/>
          <w:color w:val="000000"/>
          <w:sz w:val="24"/>
          <w:szCs w:val="24"/>
        </w:rPr>
        <w:t>tender in relation to the Deliverables; or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w:t>
      </w:r>
      <w:r>
        <w:rPr>
          <w:rFonts w:ascii="Arial" w:eastAsia="Arial" w:hAnsi="Arial" w:cs="Arial"/>
          <w:color w:val="000000"/>
          <w:sz w:val="24"/>
          <w:szCs w:val="24"/>
        </w:rPr>
        <w:t>erenced in Framework Schedule 3 (Framework Prices) (if applicable).</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The Supplier agrees that:</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in relation to a Further Competition Procedure held pursuant to this Paragraph 3 shall remain open for acceptance by the Buyer for ninety (90) Working Days (or such other period specified in the invitation to </w:t>
      </w:r>
      <w:r>
        <w:rPr>
          <w:rFonts w:ascii="Arial" w:eastAsia="Arial" w:hAnsi="Arial" w:cs="Arial"/>
          <w:color w:val="000000"/>
          <w:sz w:val="24"/>
          <w:szCs w:val="24"/>
        </w:rPr>
        <w:lastRenderedPageBreak/>
        <w:t>tender is</w:t>
      </w:r>
      <w:r>
        <w:rPr>
          <w:rFonts w:ascii="Arial" w:eastAsia="Arial" w:hAnsi="Arial" w:cs="Arial"/>
          <w:color w:val="000000"/>
          <w:sz w:val="24"/>
          <w:szCs w:val="24"/>
        </w:rPr>
        <w:t>sued by the Buyer in accordance with the Call-Off Procedure); and</w:t>
      </w:r>
    </w:p>
    <w:p w:rsidR="00CB5FC2" w:rsidRDefault="00F72BCA" w:rsidP="00613A09">
      <w:pPr>
        <w:keepNext/>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CB5FC2" w:rsidRDefault="00F72BC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CB5FC2" w:rsidRDefault="00F72BC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w:t>
      </w:r>
      <w:r>
        <w:rPr>
          <w:rFonts w:ascii="Arial" w:eastAsia="Arial" w:hAnsi="Arial" w:cs="Arial"/>
          <w:color w:val="000000"/>
          <w:sz w:val="24"/>
          <w:szCs w:val="24"/>
        </w:rPr>
        <w:t>uyer, in relation to:</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between the Supplier and Buyer entered into pursuant to this Contract.</w:t>
      </w: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Subjec</w:t>
      </w:r>
      <w:r>
        <w:rPr>
          <w:rFonts w:ascii="Arial" w:eastAsia="Arial" w:hAnsi="Arial" w:cs="Arial"/>
          <w:color w:val="000000"/>
          <w:sz w:val="24"/>
          <w:szCs w:val="24"/>
        </w:rPr>
        <w:t>t to Paragraphs 1 to 5 above and 7, a Buyer may award a Call-Off Contract with the Supplier by sending (including electronically) a signed order form substantially in the form (as may be amended or refined by the Buyer in accordance with Paragraph 3.1.2 ab</w:t>
      </w:r>
      <w:r>
        <w:rPr>
          <w:rFonts w:ascii="Arial" w:eastAsia="Arial" w:hAnsi="Arial" w:cs="Arial"/>
          <w:color w:val="000000"/>
          <w:sz w:val="24"/>
          <w:szCs w:val="24"/>
        </w:rPr>
        <w:t>ove) of the Order Form Template set out in Framework Schedule 6 (Order Form Template and Call-Off Schedules).</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w:t>
      </w:r>
      <w:r>
        <w:rPr>
          <w:rFonts w:ascii="Arial" w:eastAsia="Arial" w:hAnsi="Arial" w:cs="Arial"/>
          <w:color w:val="000000"/>
          <w:sz w:val="24"/>
          <w:szCs w:val="24"/>
        </w:rPr>
        <w:t>s not as described in this Paragraph 6 shall not constitute a Call-Off Contract under this Contract.</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lastRenderedPageBreak/>
        <w:t>On receipt of an order form as described in Paragraph 6.1 from a Buyer the Supplier shall accept the Call-Off Contract by promptly signing and returning (i</w:t>
      </w:r>
      <w:r>
        <w:rPr>
          <w:rFonts w:ascii="Arial" w:eastAsia="Arial" w:hAnsi="Arial" w:cs="Arial"/>
          <w:color w:val="000000"/>
          <w:sz w:val="24"/>
          <w:szCs w:val="24"/>
        </w:rPr>
        <w:t>ncluding by electronic means) a copy of the order form to the Buyer concerned.</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w:t>
      </w:r>
      <w:r>
        <w:rPr>
          <w:rFonts w:ascii="Arial" w:eastAsia="Arial" w:hAnsi="Arial" w:cs="Arial"/>
          <w:color w:val="000000"/>
          <w:sz w:val="24"/>
          <w:szCs w:val="24"/>
        </w:rPr>
        <w:t>ff Start Date stated in the Order Form.</w:t>
      </w:r>
    </w:p>
    <w:p w:rsidR="00CB5FC2" w:rsidRDefault="00F72BC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bookmarkStart w:id="8" w:name="_4d34og8" w:colFirst="0" w:colLast="0"/>
      <w:bookmarkEnd w:id="8"/>
      <w:r>
        <w:rPr>
          <w:rFonts w:ascii="Arial Bold" w:eastAsia="Arial Bold" w:hAnsi="Arial Bold" w:cs="Arial Bold"/>
          <w:b/>
          <w:color w:val="000000"/>
          <w:sz w:val="24"/>
          <w:szCs w:val="24"/>
        </w:rPr>
        <w:t>How e-auctions work</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9" w:name="_2s8eyo1" w:colFirst="0" w:colLast="0"/>
      <w:bookmarkEnd w:id="9"/>
      <w:r>
        <w:rPr>
          <w:rFonts w:ascii="Arial" w:eastAsia="Arial" w:hAnsi="Arial" w:cs="Arial"/>
          <w:color w:val="000000"/>
          <w:sz w:val="24"/>
          <w:szCs w:val="24"/>
        </w:rPr>
        <w:t>Where Buyer wishes to underta</w:t>
      </w:r>
      <w:r>
        <w:rPr>
          <w:rFonts w:ascii="Arial" w:eastAsia="Arial" w:hAnsi="Arial" w:cs="Arial"/>
          <w:color w:val="000000"/>
          <w:sz w:val="24"/>
          <w:szCs w:val="24"/>
        </w:rPr>
        <w:t>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w:t>
      </w:r>
      <w:r>
        <w:rPr>
          <w:rFonts w:ascii="Arial" w:eastAsia="Arial" w:hAnsi="Arial" w:cs="Arial"/>
          <w:color w:val="000000"/>
          <w:sz w:val="24"/>
          <w:szCs w:val="24"/>
        </w:rPr>
        <w:t>atement of Requirements. The Buyer will then invite to the Electronic Reverse Auction only those tenders that are admissible in accordance with the Regulations. The invitation shall be accompanied by the outcome of the full initial evaluation of the releva</w:t>
      </w:r>
      <w:r>
        <w:rPr>
          <w:rFonts w:ascii="Arial" w:eastAsia="Arial" w:hAnsi="Arial" w:cs="Arial"/>
          <w:color w:val="000000"/>
          <w:sz w:val="24"/>
          <w:szCs w:val="24"/>
        </w:rPr>
        <w:t>nt tenders.</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bookmarkStart w:id="10" w:name="_17dp8vu" w:colFirst="0" w:colLast="0"/>
      <w:bookmarkEnd w:id="10"/>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w:t>
      </w:r>
      <w:r>
        <w:rPr>
          <w:rFonts w:ascii="Arial" w:eastAsia="Arial" w:hAnsi="Arial" w:cs="Arial"/>
          <w:color w:val="000000"/>
          <w:sz w:val="24"/>
          <w:szCs w:val="24"/>
        </w:rPr>
        <w:t>pecification for connection;</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proofErr w:type="gramStart"/>
      <w:r>
        <w:rPr>
          <w:rFonts w:ascii="Arial" w:eastAsia="Arial" w:hAnsi="Arial" w:cs="Arial"/>
          <w:color w:val="000000"/>
          <w:sz w:val="24"/>
          <w:szCs w:val="24"/>
        </w:rPr>
        <w:t>details</w:t>
      </w:r>
      <w:proofErr w:type="gramEnd"/>
      <w:r>
        <w:rPr>
          <w:rFonts w:ascii="Arial" w:eastAsia="Arial" w:hAnsi="Arial" w:cs="Arial"/>
          <w:color w:val="000000"/>
          <w:sz w:val="24"/>
          <w:szCs w:val="24"/>
        </w:rPr>
        <w:t xml:space="preserve"> of when and how the Electronic Reverse Auction will close.</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11" w:name="_3rdcrjn" w:colFirst="0" w:colLast="0"/>
      <w:bookmarkEnd w:id="11"/>
      <w:r>
        <w:rPr>
          <w:rFonts w:ascii="Arial" w:eastAsia="Arial" w:hAnsi="Arial" w:cs="Arial"/>
          <w:color w:val="000000"/>
          <w:sz w:val="24"/>
          <w:szCs w:val="24"/>
        </w:rPr>
        <w:t>The Electronic Reverse Auction may not start sooner than two (2)</w:t>
      </w:r>
      <w:r>
        <w:rPr>
          <w:rFonts w:ascii="Arial" w:eastAsia="Arial" w:hAnsi="Arial" w:cs="Arial"/>
          <w:color w:val="000000"/>
          <w:sz w:val="24"/>
          <w:szCs w:val="24"/>
        </w:rPr>
        <w:t xml:space="preserve"> Working Days after the date on which the specification for the Electronic Reverse Auction has been issued.</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lastRenderedPageBreak/>
        <w:t>Throughout each phase of the Electronic Reverse Auction the Buyer will communicate to all Suppliers sufficient information to enable them to ascerta</w:t>
      </w:r>
      <w:r>
        <w:rPr>
          <w:rFonts w:ascii="Arial" w:eastAsia="Arial" w:hAnsi="Arial" w:cs="Arial"/>
          <w:color w:val="000000"/>
          <w:sz w:val="24"/>
          <w:szCs w:val="24"/>
        </w:rPr>
        <w:t>in their relative ranking.</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will comply with all such rules that may be imposed by the Buyer in relation to the operation of the Electronic Reverse Auction.</w:t>
      </w:r>
    </w:p>
    <w:p w:rsidR="00CB5FC2" w:rsidRDefault="00F72BCA" w:rsidP="00613A09">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a date and time fixed in advance;</w:t>
      </w:r>
    </w:p>
    <w:p w:rsidR="00CB5FC2" w:rsidRDefault="00F72BCA" w:rsidP="00613A09">
      <w:pPr>
        <w:widowControl/>
        <w:numPr>
          <w:ilvl w:val="3"/>
          <w:numId w:val="1"/>
        </w:numPr>
        <w:pBdr>
          <w:top w:val="nil"/>
          <w:left w:val="nil"/>
          <w:bottom w:val="nil"/>
          <w:right w:val="nil"/>
          <w:between w:val="nil"/>
        </w:pBdr>
        <w:tabs>
          <w:tab w:val="left" w:pos="3641"/>
        </w:tabs>
        <w:spacing w:before="120" w:after="120"/>
        <w:ind w:left="1985" w:hanging="567"/>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CB5FC2" w:rsidRDefault="00F72BCA" w:rsidP="00613A09">
      <w:pPr>
        <w:widowControl/>
        <w:numPr>
          <w:ilvl w:val="2"/>
          <w:numId w:val="1"/>
        </w:numPr>
        <w:pBdr>
          <w:top w:val="nil"/>
          <w:left w:val="nil"/>
          <w:bottom w:val="nil"/>
          <w:right w:val="nil"/>
          <w:between w:val="nil"/>
        </w:pBdr>
        <w:tabs>
          <w:tab w:val="left" w:pos="3641"/>
        </w:tabs>
        <w:spacing w:before="120" w:after="120"/>
        <w:ind w:left="1985" w:hanging="709"/>
        <w:rPr>
          <w:rFonts w:ascii="Arial" w:eastAsia="Arial" w:hAnsi="Arial" w:cs="Arial"/>
          <w:color w:val="000000"/>
          <w:sz w:val="24"/>
          <w:szCs w:val="24"/>
        </w:rPr>
      </w:pPr>
      <w:proofErr w:type="gramStart"/>
      <w:r>
        <w:rPr>
          <w:rFonts w:ascii="Arial" w:eastAsia="Arial" w:hAnsi="Arial" w:cs="Arial"/>
          <w:color w:val="000000"/>
          <w:sz w:val="24"/>
          <w:szCs w:val="24"/>
        </w:rPr>
        <w:t>when</w:t>
      </w:r>
      <w:proofErr w:type="gramEnd"/>
      <w:r>
        <w:rPr>
          <w:rFonts w:ascii="Arial" w:eastAsia="Arial" w:hAnsi="Arial" w:cs="Arial"/>
          <w:color w:val="000000"/>
          <w:sz w:val="24"/>
          <w:szCs w:val="24"/>
        </w:rPr>
        <w:t xml:space="preserve"> all </w:t>
      </w:r>
      <w:r w:rsidR="00613A09">
        <w:rPr>
          <w:rFonts w:ascii="Arial" w:eastAsia="Arial" w:hAnsi="Arial" w:cs="Arial"/>
          <w:color w:val="000000"/>
          <w:sz w:val="24"/>
          <w:szCs w:val="24"/>
        </w:rPr>
        <w:t>the phases have been completed.</w:t>
      </w:r>
    </w:p>
    <w:p w:rsidR="00CB5FC2" w:rsidRDefault="00F72BCA">
      <w:pPr>
        <w:rPr>
          <w:rFonts w:ascii="Arial" w:eastAsia="Arial" w:hAnsi="Arial" w:cs="Arial"/>
          <w:sz w:val="24"/>
          <w:szCs w:val="24"/>
        </w:rPr>
      </w:pPr>
      <w:r>
        <w:br w:type="page"/>
      </w:r>
    </w:p>
    <w:p w:rsidR="00CB5FC2" w:rsidRDefault="00CB5FC2">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CB5FC2" w:rsidRDefault="00F72BC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CB5FC2" w:rsidRDefault="00F72BCA">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CB5FC2" w:rsidRDefault="00F72BCA">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of most economically advantageous tender </w:t>
      </w:r>
      <w:r>
        <w:rPr>
          <w:rFonts w:ascii="Arial" w:eastAsia="Arial" w:hAnsi="Arial" w:cs="Arial"/>
          <w:color w:val="000000"/>
          <w:sz w:val="24"/>
          <w:szCs w:val="24"/>
        </w:rPr>
        <w:t>("MEAT").</w:t>
      </w:r>
    </w:p>
    <w:p w:rsidR="00CB5FC2" w:rsidRDefault="00F72BCA">
      <w:pPr>
        <w:rPr>
          <w:rFonts w:ascii="Arial" w:eastAsia="Arial" w:hAnsi="Arial" w:cs="Arial"/>
          <w:b/>
          <w:smallCaps/>
          <w:sz w:val="24"/>
          <w:szCs w:val="24"/>
        </w:rPr>
      </w:pPr>
      <w:r>
        <w:br w:type="page"/>
      </w:r>
    </w:p>
    <w:p w:rsidR="00CB5FC2" w:rsidRDefault="00F72BCA">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color w:val="000000"/>
          <w:sz w:val="24"/>
          <w:szCs w:val="24"/>
        </w:rPr>
        <w:t>The following criteria and weightings shall apply to the evaluation for direct award of each Call-Off.</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1. The Direct Award Criteria applied to the tenders of those Suppliers appointed to this Framework </w:t>
      </w:r>
      <w:r w:rsidR="00613A09">
        <w:rPr>
          <w:rFonts w:ascii="Arial" w:eastAsia="Arial" w:hAnsi="Arial" w:cs="Arial"/>
          <w:sz w:val="24"/>
          <w:szCs w:val="24"/>
        </w:rPr>
        <w:t>Contract</w:t>
      </w:r>
      <w:bookmarkStart w:id="12" w:name="_GoBack"/>
      <w:bookmarkEnd w:id="12"/>
      <w:r>
        <w:rPr>
          <w:rFonts w:ascii="Arial" w:eastAsia="Arial" w:hAnsi="Arial" w:cs="Arial"/>
          <w:sz w:val="24"/>
          <w:szCs w:val="24"/>
        </w:rPr>
        <w:t xml:space="preserve"> shall be as follows: Criteria Value for money: e.g</w:t>
      </w:r>
      <w:r w:rsidR="00613A09">
        <w:rPr>
          <w:rFonts w:ascii="Arial" w:eastAsia="Arial" w:hAnsi="Arial" w:cs="Arial"/>
          <w:sz w:val="24"/>
          <w:szCs w:val="24"/>
        </w:rPr>
        <w:t>.</w:t>
      </w:r>
      <w:r>
        <w:rPr>
          <w:rFonts w:ascii="Arial" w:eastAsia="Arial" w:hAnsi="Arial" w:cs="Arial"/>
          <w:sz w:val="24"/>
          <w:szCs w:val="24"/>
        </w:rPr>
        <w:t xml:space="preserve"> the </w:t>
      </w:r>
      <w:r w:rsidR="00613A09">
        <w:rPr>
          <w:rFonts w:ascii="Arial" w:eastAsia="Arial" w:hAnsi="Arial" w:cs="Arial"/>
          <w:sz w:val="24"/>
          <w:szCs w:val="24"/>
        </w:rPr>
        <w:t>Buyer</w:t>
      </w:r>
      <w:r>
        <w:rPr>
          <w:rFonts w:ascii="Arial" w:eastAsia="Arial" w:hAnsi="Arial" w:cs="Arial"/>
          <w:sz w:val="24"/>
          <w:szCs w:val="24"/>
        </w:rPr>
        <w:t xml:space="preserve"> believes that the Supplier provides demonstrable value for money, whic</w:t>
      </w:r>
      <w:r>
        <w:rPr>
          <w:rFonts w:ascii="Arial" w:eastAsia="Arial" w:hAnsi="Arial" w:cs="Arial"/>
          <w:sz w:val="24"/>
          <w:szCs w:val="24"/>
        </w:rPr>
        <w:t xml:space="preserve">h may include but is not limited to: </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 Cost effectiveness; </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xml:space="preserve">● Price; and </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sz w:val="24"/>
          <w:szCs w:val="24"/>
        </w:rPr>
        <w:t>● Quality.</w:t>
      </w:r>
    </w:p>
    <w:p w:rsidR="00613A09" w:rsidRDefault="00613A09">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p>
    <w:p w:rsidR="00613A09" w:rsidRDefault="00613A09">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p>
    <w:p w:rsidR="00CB5FC2" w:rsidRDefault="00F72BCA">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t>Annex B: Further Competition Award Criteria</w:t>
      </w:r>
    </w:p>
    <w:p w:rsidR="00CB5FC2" w:rsidRDefault="00F72BC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w:t>
      </w:r>
      <w:r>
        <w:rPr>
          <w:rFonts w:ascii="Arial" w:eastAsia="Arial" w:hAnsi="Arial" w:cs="Arial"/>
          <w:color w:val="000000"/>
          <w:sz w:val="24"/>
          <w:szCs w:val="24"/>
        </w:rPr>
        <w:t>ure:</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5FC2">
        <w:tc>
          <w:tcPr>
            <w:tcW w:w="4508" w:type="dxa"/>
            <w:shd w:val="clear" w:color="auto" w:fill="E7E6E6"/>
          </w:tcPr>
          <w:p w:rsidR="00CB5FC2" w:rsidRDefault="00F72BCA">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rsidR="00CB5FC2" w:rsidRDefault="00F72BCA">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CB5FC2">
        <w:tc>
          <w:tcPr>
            <w:tcW w:w="4508" w:type="dxa"/>
            <w:shd w:val="clear" w:color="auto" w:fill="auto"/>
          </w:tcPr>
          <w:p w:rsidR="00CB5FC2" w:rsidRDefault="00F72BCA">
            <w:pPr>
              <w:keepNext/>
              <w:widowControl/>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Quality</w:t>
            </w:r>
          </w:p>
        </w:tc>
        <w:tc>
          <w:tcPr>
            <w:tcW w:w="4508" w:type="dxa"/>
          </w:tcPr>
          <w:p w:rsidR="00CB5FC2" w:rsidRDefault="00F72BCA">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70% (ability to increase by 15% a</w:t>
            </w:r>
            <w:r>
              <w:rPr>
                <w:rFonts w:ascii="Arial" w:eastAsia="Arial" w:hAnsi="Arial" w:cs="Arial"/>
                <w:sz w:val="24"/>
                <w:szCs w:val="24"/>
              </w:rPr>
              <w:t>t</w:t>
            </w:r>
            <w:r>
              <w:rPr>
                <w:rFonts w:ascii="Arial" w:eastAsia="Arial" w:hAnsi="Arial" w:cs="Arial"/>
                <w:color w:val="000000"/>
                <w:sz w:val="24"/>
                <w:szCs w:val="24"/>
              </w:rPr>
              <w:t xml:space="preserve"> customer</w:t>
            </w:r>
            <w:r w:rsidR="00613A09">
              <w:rPr>
                <w:rFonts w:ascii="Arial" w:eastAsia="Arial" w:hAnsi="Arial" w:cs="Arial"/>
                <w:color w:val="000000"/>
                <w:sz w:val="24"/>
                <w:szCs w:val="24"/>
              </w:rPr>
              <w:t>’</w:t>
            </w:r>
            <w:r>
              <w:rPr>
                <w:rFonts w:ascii="Arial" w:eastAsia="Arial" w:hAnsi="Arial" w:cs="Arial"/>
                <w:color w:val="000000"/>
                <w:sz w:val="24"/>
                <w:szCs w:val="24"/>
              </w:rPr>
              <w:t>s discretion).</w:t>
            </w:r>
          </w:p>
        </w:tc>
      </w:tr>
      <w:tr w:rsidR="00CB5FC2">
        <w:tc>
          <w:tcPr>
            <w:tcW w:w="4508" w:type="dxa"/>
            <w:shd w:val="clear" w:color="auto" w:fill="auto"/>
          </w:tcPr>
          <w:p w:rsidR="00CB5FC2" w:rsidRDefault="00F72BC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Price</w:t>
            </w:r>
          </w:p>
        </w:tc>
        <w:tc>
          <w:tcPr>
            <w:tcW w:w="4508" w:type="dxa"/>
          </w:tcPr>
          <w:p w:rsidR="00CB5FC2" w:rsidRDefault="00F72BC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30% (maximum)</w:t>
            </w:r>
          </w:p>
        </w:tc>
      </w:tr>
    </w:tbl>
    <w:p w:rsidR="00CB5FC2" w:rsidRDefault="00CB5FC2" w:rsidP="00613A09">
      <w:pPr>
        <w:widowControl/>
        <w:pBdr>
          <w:top w:val="nil"/>
          <w:left w:val="nil"/>
          <w:bottom w:val="nil"/>
          <w:right w:val="nil"/>
          <w:between w:val="nil"/>
        </w:pBdr>
        <w:jc w:val="both"/>
        <w:rPr>
          <w:rFonts w:ascii="Arial" w:eastAsia="Arial" w:hAnsi="Arial" w:cs="Arial"/>
          <w:color w:val="FFFFFF"/>
          <w:sz w:val="24"/>
          <w:szCs w:val="24"/>
        </w:rPr>
      </w:pPr>
    </w:p>
    <w:sectPr w:rsidR="00CB5FC2">
      <w:headerReference w:type="default" r:id="rId7"/>
      <w:footerReference w:type="default" r:id="rId8"/>
      <w:headerReference w:type="first" r:id="rId9"/>
      <w:footerReference w:type="first" r:id="rId10"/>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BCA" w:rsidRDefault="00F72BCA">
      <w:r>
        <w:separator/>
      </w:r>
    </w:p>
  </w:endnote>
  <w:endnote w:type="continuationSeparator" w:id="0">
    <w:p w:rsidR="00F72BCA" w:rsidRDefault="00F7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FC2" w:rsidRDefault="00F72BCA">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sidR="00613A09">
      <w:rPr>
        <w:rFonts w:ascii="Arial" w:eastAsia="Arial" w:hAnsi="Arial" w:cs="Arial"/>
        <w:sz w:val="20"/>
        <w:szCs w:val="20"/>
      </w:rPr>
      <w:t>6141</w:t>
    </w:r>
    <w:r>
      <w:rPr>
        <w:rFonts w:ascii="Arial" w:eastAsia="Arial" w:hAnsi="Arial" w:cs="Arial"/>
        <w:sz w:val="20"/>
        <w:szCs w:val="20"/>
      </w:rPr>
      <w:tab/>
      <w:t xml:space="preserve">                                           </w:t>
    </w:r>
  </w:p>
  <w:p w:rsidR="00CB5FC2" w:rsidRDefault="00F72BCA">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13A09">
      <w:rPr>
        <w:rFonts w:ascii="Arial" w:eastAsia="Arial" w:hAnsi="Arial" w:cs="Arial"/>
        <w:color w:val="000000"/>
        <w:sz w:val="20"/>
        <w:szCs w:val="20"/>
      </w:rPr>
      <w:fldChar w:fldCharType="separate"/>
    </w:r>
    <w:r w:rsidR="00613A09">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CB5FC2" w:rsidRDefault="00F72BCA">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w:t>
    </w:r>
    <w:r>
      <w:rPr>
        <w:rFonts w:ascii="Arial" w:eastAsia="Arial" w:hAnsi="Arial" w:cs="Arial"/>
        <w:sz w:val="20"/>
        <w:szCs w:val="20"/>
      </w:rPr>
      <w:t>: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FC2" w:rsidRDefault="00CB5FC2">
    <w:pPr>
      <w:widowControl/>
      <w:pBdr>
        <w:top w:val="nil"/>
        <w:left w:val="nil"/>
        <w:bottom w:val="nil"/>
        <w:right w:val="nil"/>
        <w:between w:val="nil"/>
      </w:pBdr>
      <w:tabs>
        <w:tab w:val="center" w:pos="4513"/>
        <w:tab w:val="right" w:pos="9026"/>
      </w:tabs>
      <w:jc w:val="both"/>
      <w:rPr>
        <w:color w:val="000000"/>
      </w:rPr>
    </w:pPr>
  </w:p>
  <w:p w:rsidR="00CB5FC2" w:rsidRDefault="00F72BCA">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CB5FC2" w:rsidRDefault="00F72BCA">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CB5FC2" w:rsidRDefault="00F72BCA">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BCA" w:rsidRDefault="00F72BCA">
      <w:r>
        <w:separator/>
      </w:r>
    </w:p>
  </w:footnote>
  <w:footnote w:type="continuationSeparator" w:id="0">
    <w:p w:rsidR="00F72BCA" w:rsidRDefault="00F72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FC2" w:rsidRDefault="00F72BCA">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CB5FC2" w:rsidRDefault="00613A09">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FC2" w:rsidRDefault="00F72BCA">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CB5FC2" w:rsidRDefault="00F72BCA">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CB5FC2" w:rsidRDefault="00CB5FC2">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4F2976"/>
    <w:multiLevelType w:val="multilevel"/>
    <w:tmpl w:val="9D94D5D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BA73916"/>
    <w:multiLevelType w:val="multilevel"/>
    <w:tmpl w:val="8B2A30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6D216872"/>
    <w:multiLevelType w:val="multilevel"/>
    <w:tmpl w:val="57A854F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FC2"/>
    <w:rsid w:val="00613A09"/>
    <w:rsid w:val="00CB5FC2"/>
    <w:rsid w:val="00F72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008999-6381-4266-B7C8-82677FF0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613A09"/>
    <w:pPr>
      <w:tabs>
        <w:tab w:val="center" w:pos="4513"/>
        <w:tab w:val="right" w:pos="9026"/>
      </w:tabs>
    </w:pPr>
  </w:style>
  <w:style w:type="character" w:customStyle="1" w:styleId="HeaderChar">
    <w:name w:val="Header Char"/>
    <w:basedOn w:val="DefaultParagraphFont"/>
    <w:link w:val="Header"/>
    <w:uiPriority w:val="99"/>
    <w:rsid w:val="00613A09"/>
  </w:style>
  <w:style w:type="paragraph" w:styleId="Footer">
    <w:name w:val="footer"/>
    <w:basedOn w:val="Normal"/>
    <w:link w:val="FooterChar"/>
    <w:uiPriority w:val="99"/>
    <w:unhideWhenUsed/>
    <w:rsid w:val="00613A09"/>
    <w:pPr>
      <w:tabs>
        <w:tab w:val="center" w:pos="4513"/>
        <w:tab w:val="right" w:pos="9026"/>
      </w:tabs>
    </w:pPr>
  </w:style>
  <w:style w:type="character" w:customStyle="1" w:styleId="FooterChar">
    <w:name w:val="Footer Char"/>
    <w:basedOn w:val="DefaultParagraphFont"/>
    <w:link w:val="Footer"/>
    <w:uiPriority w:val="99"/>
    <w:rsid w:val="00613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Janine Cato</dc:creator>
  <cp:lastModifiedBy>Janine Cato</cp:lastModifiedBy>
  <cp:revision>2</cp:revision>
  <dcterms:created xsi:type="dcterms:W3CDTF">2020-09-23T11:17:00Z</dcterms:created>
  <dcterms:modified xsi:type="dcterms:W3CDTF">2020-09-23T11:17:00Z</dcterms:modified>
</cp:coreProperties>
</file>